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34B" w14:textId="21EAA14F" w:rsidR="00292582" w:rsidRDefault="00292582" w:rsidP="00F04B10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中華民國證券商業同業公會</w:t>
      </w:r>
    </w:p>
    <w:p w14:paraId="2646A11F" w14:textId="0FFCA4A9" w:rsidR="00A20163" w:rsidRPr="00A125AE" w:rsidRDefault="00F04B10" w:rsidP="00F04B10">
      <w:pPr>
        <w:snapToGrid w:val="0"/>
        <w:jc w:val="center"/>
        <w:rPr>
          <w:b/>
          <w:bCs/>
          <w:sz w:val="32"/>
          <w:szCs w:val="32"/>
        </w:rPr>
      </w:pPr>
      <w:r w:rsidRPr="00A125AE">
        <w:rPr>
          <w:rFonts w:hint="eastAsia"/>
          <w:b/>
          <w:bCs/>
          <w:sz w:val="32"/>
          <w:szCs w:val="32"/>
        </w:rPr>
        <w:t>證券商交割專戶留存客戶款項契約範本</w:t>
      </w:r>
    </w:p>
    <w:p w14:paraId="7D57A914" w14:textId="10DF9EF6" w:rsidR="00F04B10" w:rsidRPr="00A125AE" w:rsidRDefault="00F04B10" w:rsidP="00292582">
      <w:pPr>
        <w:snapToGrid w:val="0"/>
        <w:jc w:val="center"/>
        <w:rPr>
          <w:b/>
          <w:bCs/>
          <w:sz w:val="32"/>
          <w:szCs w:val="32"/>
        </w:rPr>
      </w:pPr>
      <w:r w:rsidRPr="00A125AE">
        <w:rPr>
          <w:rFonts w:hint="eastAsia"/>
          <w:b/>
          <w:bCs/>
          <w:sz w:val="32"/>
          <w:szCs w:val="32"/>
        </w:rPr>
        <w:t>修正條文對照表</w:t>
      </w:r>
    </w:p>
    <w:p w14:paraId="71E49DC0" w14:textId="60B81028" w:rsidR="003E6E52" w:rsidRPr="00302A65" w:rsidRDefault="00302A65" w:rsidP="00302A65">
      <w:pPr>
        <w:snapToGrid w:val="0"/>
        <w:spacing w:beforeLines="30" w:before="114" w:afterLines="30" w:after="114"/>
        <w:jc w:val="right"/>
        <w:rPr>
          <w:szCs w:val="28"/>
        </w:rPr>
      </w:pPr>
      <w:r w:rsidRPr="00302A65">
        <w:rPr>
          <w:rFonts w:hint="eastAsia"/>
          <w:szCs w:val="28"/>
        </w:rPr>
        <w:t>1</w:t>
      </w:r>
      <w:r w:rsidRPr="00302A65">
        <w:rPr>
          <w:szCs w:val="28"/>
        </w:rPr>
        <w:t>11.9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3754"/>
        <w:gridCol w:w="3754"/>
        <w:gridCol w:w="2693"/>
      </w:tblGrid>
      <w:tr w:rsidR="00A125AE" w:rsidRPr="00A125AE" w14:paraId="237E6386" w14:textId="77777777" w:rsidTr="00024B29">
        <w:trPr>
          <w:tblHeader/>
          <w:jc w:val="center"/>
        </w:trPr>
        <w:tc>
          <w:tcPr>
            <w:tcW w:w="3754" w:type="dxa"/>
          </w:tcPr>
          <w:p w14:paraId="5148691A" w14:textId="77777777" w:rsidR="00F04B10" w:rsidRPr="00A125AE" w:rsidRDefault="00F04B10" w:rsidP="00B77D5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25AE">
              <w:rPr>
                <w:rFonts w:ascii="Times New Roman" w:eastAsia="標楷體" w:hAnsi="Times New Roman" w:cs="Times New Roman"/>
                <w:sz w:val="28"/>
                <w:szCs w:val="28"/>
              </w:rPr>
              <w:t>修正條文</w:t>
            </w:r>
          </w:p>
        </w:tc>
        <w:tc>
          <w:tcPr>
            <w:tcW w:w="3754" w:type="dxa"/>
          </w:tcPr>
          <w:p w14:paraId="61F4EDA6" w14:textId="77777777" w:rsidR="00F04B10" w:rsidRPr="00A125AE" w:rsidRDefault="00F04B10" w:rsidP="00B77D53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/>
                <w:sz w:val="28"/>
                <w:szCs w:val="28"/>
              </w:rPr>
              <w:t>現行條文</w:t>
            </w:r>
          </w:p>
        </w:tc>
        <w:tc>
          <w:tcPr>
            <w:tcW w:w="2693" w:type="dxa"/>
          </w:tcPr>
          <w:p w14:paraId="0C4DE607" w14:textId="77777777" w:rsidR="00F04B10" w:rsidRPr="00A125AE" w:rsidRDefault="00F04B10" w:rsidP="00B77D5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25A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</w:tr>
      <w:tr w:rsidR="00F04B10" w:rsidRPr="00A125AE" w14:paraId="0FFFCFAE" w14:textId="77777777" w:rsidTr="00024B29">
        <w:trPr>
          <w:trHeight w:val="5112"/>
          <w:jc w:val="center"/>
        </w:trPr>
        <w:tc>
          <w:tcPr>
            <w:tcW w:w="3754" w:type="dxa"/>
          </w:tcPr>
          <w:p w14:paraId="42BCE25F" w14:textId="15ED085B" w:rsidR="00F04B10" w:rsidRPr="00A125AE" w:rsidRDefault="00F04B10" w:rsidP="00B77D53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第四條</w:t>
            </w:r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B0490D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收益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結算及給付方式</w:t>
            </w:r>
            <w:r w:rsidR="00B0490D" w:rsidRPr="00A125A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7A5A31" w:rsidRPr="00A125A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24EF75EF" w14:textId="77777777" w:rsidR="00417469" w:rsidRPr="00A125AE" w:rsidRDefault="00417469" w:rsidP="00B77D53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37E42A" w14:textId="5E0E2D00" w:rsidR="00417469" w:rsidRPr="00A125AE" w:rsidRDefault="00024B29" w:rsidP="00024B29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bookmarkStart w:id="0" w:name="_Hlk115249565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甲方同意留存於乙方交割專戶之款項，乙方得依主管機關規定運用於安全且流動性高之金融商品，或分離存放於其他銀行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p w14:paraId="76B9D31D" w14:textId="1DD88876" w:rsidR="00231364" w:rsidRPr="00A125AE" w:rsidRDefault="00024B29" w:rsidP="00024B29">
            <w:pPr>
              <w:adjustRightInd w:val="0"/>
              <w:snapToGrid w:val="0"/>
              <w:ind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乙方應就甲方同意留存於乙方交割專戶之款項及運用所生收益，自行約定帳戶收益之處理方式，得</w:t>
            </w:r>
            <w:proofErr w:type="gramStart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採</w:t>
            </w:r>
            <w:proofErr w:type="gramEnd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下列方式擇</w:t>
            </w:r>
            <w:proofErr w:type="gramStart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一</w:t>
            </w:r>
            <w:proofErr w:type="gramEnd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處理</w:t>
            </w:r>
            <w:r w:rsidR="00ED2D8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bookmarkEnd w:id="0"/>
          <w:p w14:paraId="34C16E4C" w14:textId="77777777" w:rsidR="004E665D" w:rsidRPr="00A125AE" w:rsidRDefault="004E665D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  <w:p w14:paraId="5960F334" w14:textId="77777777" w:rsidR="00417469" w:rsidRPr="00A125AE" w:rsidRDefault="00417469" w:rsidP="0041746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方式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775EF252" w14:textId="1C803C40" w:rsidR="00417469" w:rsidRPr="00A125AE" w:rsidRDefault="00417469" w:rsidP="0041746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bookmarkStart w:id="1" w:name="_Hlk115249623"/>
            <w:r w:rsidR="00024B29"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甲方留存於</w:t>
            </w:r>
            <w:r w:rsidR="00024B29"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乙方</w:t>
            </w:r>
            <w:r w:rsidR="00024B29"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交割專戶之款項</w:t>
            </w:r>
            <w:r w:rsidR="00024B29"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及運用所生收益</w:t>
            </w:r>
            <w:r w:rsidR="00024B29"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甲方同意依甲方之金額比例分配，並於扣除本契約所定之管理費及相關稅捐、所需費用後，將結餘部分□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併同原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款項續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予留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存□撥還與甲方【請證券商與客戶自行約定】。</w:t>
            </w:r>
            <w:bookmarkEnd w:id="1"/>
          </w:p>
          <w:p w14:paraId="14D28D93" w14:textId="3BE15974" w:rsidR="00417469" w:rsidRPr="00A125AE" w:rsidRDefault="00BA0C63" w:rsidP="0041746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bookmarkStart w:id="2" w:name="_Hlk115249669"/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前項應撥</w:t>
            </w:r>
            <w:proofErr w:type="gramStart"/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還予甲方</w:t>
            </w:r>
            <w:proofErr w:type="gramEnd"/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收益</w:t>
            </w:r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，由乙</w:t>
            </w:r>
            <w:proofErr w:type="gramStart"/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方撥轉至甲</w:t>
            </w:r>
            <w:proofErr w:type="gramEnd"/>
            <w:r w:rsidR="00417469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方證券款項劃撥帳戶或其指定之本人存款帳戶。乙方應於收益發生年度以甲方為納稅義務人，依所得稅法及其相關規定辦理扣繳並填發扣繳憑單。</w:t>
            </w:r>
            <w:bookmarkEnd w:id="2"/>
          </w:p>
          <w:p w14:paraId="1C3F3702" w14:textId="73B97105" w:rsidR="00417469" w:rsidRDefault="00417469" w:rsidP="0041746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C31B711" w14:textId="77777777" w:rsidR="00302A65" w:rsidRPr="00A125AE" w:rsidRDefault="00302A65" w:rsidP="0041746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41BCAC86" w14:textId="49FB9B1D" w:rsidR="00417469" w:rsidRPr="00A125AE" w:rsidRDefault="00231364" w:rsidP="0041746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方式二：</w:t>
            </w:r>
          </w:p>
          <w:p w14:paraId="009525E1" w14:textId="5FE768F2" w:rsidR="00231364" w:rsidRPr="00A125AE" w:rsidRDefault="00024B29" w:rsidP="00024B29">
            <w:pPr>
              <w:adjustRightInd w:val="0"/>
              <w:snapToGrid w:val="0"/>
              <w:spacing w:line="400" w:lineRule="atLeas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  <w:bookmarkStart w:id="3" w:name="_Hlk115249684"/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方留存於</w:t>
            </w:r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乙方</w:t>
            </w:r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</w:rPr>
              <w:t>交割專戶之款項</w:t>
            </w:r>
            <w:r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及運用，</w:t>
            </w:r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依</w:t>
            </w:r>
            <w:r w:rsidR="00231364" w:rsidRPr="00A125AE">
              <w:rPr>
                <w:rFonts w:ascii="標楷體" w:eastAsia="標楷體" w:hAnsi="標楷體" w:cs="Times New Roman"/>
                <w:sz w:val="28"/>
                <w:szCs w:val="28"/>
              </w:rPr>
              <w:t>_______</w:t>
            </w:r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之年利率</w:t>
            </w:r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計算收益</w:t>
            </w:r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（請證券商與客戶自行約定利率），所生</w:t>
            </w:r>
            <w:r w:rsidR="00DA4E4B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收益</w:t>
            </w:r>
            <w:proofErr w:type="gramStart"/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併同原</w:t>
            </w:r>
            <w:proofErr w:type="gramEnd"/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款項續</w:t>
            </w:r>
            <w:proofErr w:type="gramStart"/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予留</w:t>
            </w:r>
            <w:proofErr w:type="gramEnd"/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存於交割專戶。</w:t>
            </w:r>
            <w:bookmarkEnd w:id="3"/>
          </w:p>
          <w:p w14:paraId="5FEE1ED2" w14:textId="02DE4AAF" w:rsidR="00231364" w:rsidRPr="00A125AE" w:rsidRDefault="00E5368D" w:rsidP="00982119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乙方應於收益發生年度以甲方為納稅義務人，依所得稅法及其相關規定辦理扣繳並填發扣繳憑單。</w:t>
            </w:r>
          </w:p>
          <w:p w14:paraId="0F5ED10F" w14:textId="77777777" w:rsidR="00231364" w:rsidRPr="00A125AE" w:rsidRDefault="00231364" w:rsidP="00982119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951CCE0" w14:textId="77777777" w:rsidR="00231364" w:rsidRPr="00A125AE" w:rsidRDefault="00231364" w:rsidP="00982119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14593E4" w14:textId="15241161" w:rsidR="00FC793D" w:rsidRPr="00A125AE" w:rsidRDefault="00FC793D" w:rsidP="00C236AA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14:paraId="4C0F1CCF" w14:textId="77777777" w:rsidR="007D1E88" w:rsidRPr="00A125AE" w:rsidRDefault="007D1E88" w:rsidP="0023136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第四條（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利息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結算及給付方式）【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帳戶利息證券商可擇一方式與客戶自行約定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14:paraId="777C31B7" w14:textId="77777777" w:rsidR="007D1E88" w:rsidRPr="00A125AE" w:rsidRDefault="007D1E88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CC2C266" w14:textId="55AF2AC7" w:rsidR="00417469" w:rsidRPr="00A125AE" w:rsidRDefault="00417469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08EE6F" w14:textId="4D318619" w:rsidR="00231364" w:rsidRPr="00A125AE" w:rsidRDefault="00231364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FF24019" w14:textId="0B92092E" w:rsidR="00650590" w:rsidRPr="00A125AE" w:rsidRDefault="00650590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C76D431" w14:textId="75B75BA0" w:rsidR="00650590" w:rsidRPr="00A125AE" w:rsidRDefault="00650590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4304D6" w14:textId="241D3506" w:rsidR="00650590" w:rsidRPr="00A125AE" w:rsidRDefault="00650590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F87F243" w14:textId="6D65A7F7" w:rsidR="00650590" w:rsidRPr="00A125AE" w:rsidRDefault="00650590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FE98E56" w14:textId="6E0670C0" w:rsidR="00650590" w:rsidRPr="00A125AE" w:rsidRDefault="00650590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0666476" w14:textId="7BB127E8" w:rsidR="007A5A31" w:rsidRPr="00A125AE" w:rsidRDefault="007A5A31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654E85D" w14:textId="77777777" w:rsidR="004E665D" w:rsidRPr="00A125AE" w:rsidRDefault="004E665D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AD109E9" w14:textId="58F0E65F" w:rsidR="007D1E88" w:rsidRPr="00A125AE" w:rsidRDefault="007D1E88" w:rsidP="007D1E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方式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4076323F" w14:textId="531BBFEA" w:rsidR="007D1E88" w:rsidRPr="00A125AE" w:rsidRDefault="00417469" w:rsidP="007D1E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甲方留存於交割專戶之款項所生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利息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，甲方同意依甲方之金額比例分配，並於扣除本契約所定之管理費及相關稅捐、所需費用後，將結餘部分□</w:t>
            </w:r>
            <w:proofErr w:type="gramStart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併同原</w:t>
            </w:r>
            <w:proofErr w:type="gramEnd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款項續</w:t>
            </w:r>
            <w:proofErr w:type="gramStart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予留</w:t>
            </w:r>
            <w:proofErr w:type="gramEnd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存□撥還與甲方【請證券商與客戶自行約定】。</w:t>
            </w:r>
          </w:p>
          <w:p w14:paraId="11726572" w14:textId="52231EBD" w:rsidR="007D1E88" w:rsidRPr="00A125AE" w:rsidRDefault="00417469" w:rsidP="0023136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前項應撥</w:t>
            </w:r>
            <w:proofErr w:type="gramStart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還予甲方</w:t>
            </w:r>
            <w:proofErr w:type="gramEnd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利息</w:t>
            </w:r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，由乙</w:t>
            </w:r>
            <w:proofErr w:type="gramStart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方撥轉至甲</w:t>
            </w:r>
            <w:proofErr w:type="gramEnd"/>
            <w:r w:rsidR="007D1E88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方證券款項劃撥帳戶或其指定之本人存款帳戶。乙方應於收益發生年度以甲方為納稅義務人，依所得稅法及其相關規定辦理扣繳並填發扣繳憑單。</w:t>
            </w:r>
          </w:p>
          <w:p w14:paraId="09BB92AC" w14:textId="0A48D089" w:rsidR="007D1E88" w:rsidRDefault="007D1E88" w:rsidP="0023136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674C494" w14:textId="77777777" w:rsidR="00302A65" w:rsidRPr="00A125AE" w:rsidRDefault="00302A65" w:rsidP="0023136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6CAA6F9F" w14:textId="728C418C" w:rsidR="007D1E88" w:rsidRPr="00A125AE" w:rsidRDefault="007D1E88" w:rsidP="007D1E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方式二：</w:t>
            </w:r>
          </w:p>
          <w:p w14:paraId="61892337" w14:textId="1729F279" w:rsidR="007D1E88" w:rsidRPr="00A125AE" w:rsidRDefault="007D1E88" w:rsidP="00231364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甲方留存於交割專戶之款項依</w:t>
            </w:r>
            <w:r w:rsidR="00231364"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_</w:t>
            </w:r>
            <w:r w:rsidR="00231364" w:rsidRPr="00A125AE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之年利率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計息</w:t>
            </w: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（請證券商與客戶自行約定利率），所生</w:t>
            </w:r>
            <w:r w:rsidRPr="006A067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利息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併同原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款項續</w:t>
            </w:r>
            <w:proofErr w:type="gramStart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予留</w:t>
            </w:r>
            <w:proofErr w:type="gramEnd"/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存於交割專戶。</w:t>
            </w:r>
          </w:p>
          <w:p w14:paraId="6518E9F1" w14:textId="18FD6424" w:rsidR="007D1E88" w:rsidRPr="00A125AE" w:rsidRDefault="007D1E88" w:rsidP="007A5A31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>乙方應於收益發生年度以甲方為納稅義務人，依所得稅法及其相關規定辦理扣繳並填發扣繳憑單。</w:t>
            </w:r>
          </w:p>
          <w:p w14:paraId="3987D92E" w14:textId="77777777" w:rsidR="007D1E88" w:rsidRPr="00A125AE" w:rsidRDefault="007D1E88" w:rsidP="007A5A31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7D3B126" w14:textId="7BF678DE" w:rsidR="007D1E88" w:rsidRPr="003326D0" w:rsidRDefault="007D1E88" w:rsidP="007D1E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3326D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方式</w:t>
            </w:r>
            <w:proofErr w:type="gramStart"/>
            <w:r w:rsidRPr="003326D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三</w:t>
            </w:r>
            <w:proofErr w:type="gramEnd"/>
            <w:r w:rsidRPr="003326D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：</w:t>
            </w:r>
          </w:p>
          <w:p w14:paraId="02968917" w14:textId="69C3F697" w:rsidR="00F04B10" w:rsidRPr="00024B29" w:rsidRDefault="007A5A31" w:rsidP="007D1E8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125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7D1E88"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甲方同意留存於乙方交割專戶之款項所生利息，</w:t>
            </w:r>
            <w:proofErr w:type="gramStart"/>
            <w:r w:rsidR="007D1E88"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概歸乙</w:t>
            </w:r>
            <w:proofErr w:type="gramEnd"/>
            <w:r w:rsidR="007D1E88" w:rsidRPr="00024B2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方所有。</w:t>
            </w:r>
          </w:p>
          <w:p w14:paraId="154776AF" w14:textId="785ACEE5" w:rsidR="00B0490D" w:rsidRPr="00A125AE" w:rsidRDefault="00B0490D" w:rsidP="00B77D53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A0DDEE" w14:textId="6DE3481E" w:rsidR="00F04B10" w:rsidRPr="00A125AE" w:rsidRDefault="00F04B10" w:rsidP="00B77D53">
            <w:pPr>
              <w:adjustRightInd w:val="0"/>
              <w:snapToGrid w:val="0"/>
              <w:spacing w:line="40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lastRenderedPageBreak/>
              <w:t>一、</w:t>
            </w:r>
            <w:r w:rsidR="00FC793D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配合證券交易所修正「證券商交割專戶設置客戶分戶帳作業要點」第</w:t>
            </w:r>
            <w:r w:rsidR="00C236AA" w:rsidRPr="00A125A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12</w:t>
            </w:r>
            <w:r w:rsidR="00FC793D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條，</w:t>
            </w:r>
            <w:proofErr w:type="gramStart"/>
            <w:r w:rsidR="00FC793D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爰</w:t>
            </w:r>
            <w:proofErr w:type="gramEnd"/>
            <w:r w:rsidR="00417469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修正</w:t>
            </w:r>
            <w:r w:rsidR="00E15489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本條</w:t>
            </w:r>
            <w:r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。</w:t>
            </w:r>
          </w:p>
          <w:p w14:paraId="714E01D7" w14:textId="64B0333F" w:rsidR="00431E16" w:rsidRPr="00A125AE" w:rsidRDefault="00F04B10" w:rsidP="00510BCB">
            <w:pPr>
              <w:adjustRightInd w:val="0"/>
              <w:snapToGrid w:val="0"/>
              <w:spacing w:line="400" w:lineRule="atLeast"/>
              <w:ind w:left="535" w:hangingChars="191" w:hanging="535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二、</w:t>
            </w:r>
            <w:r w:rsidR="006E0957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為保障投資人權益，</w:t>
            </w:r>
            <w:r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證券商</w:t>
            </w:r>
            <w:r w:rsidR="00431E16" w:rsidRPr="00A125A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客戶分戶帳內款項得依主管機關規定，經客戶同意，運用於安全且流動性高之金融商品，或分離存放於其他銀行，並應於契約中載明資金運用損益之處理方式。</w:t>
            </w:r>
          </w:p>
          <w:p w14:paraId="6F4CA02D" w14:textId="77777777" w:rsidR="00FC793D" w:rsidRPr="00A125AE" w:rsidRDefault="00FC793D" w:rsidP="00B77D53">
            <w:pPr>
              <w:adjustRightInd w:val="0"/>
              <w:snapToGrid w:val="0"/>
              <w:spacing w:line="40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436EE2CE" w14:textId="127B53A5" w:rsidR="00F04B10" w:rsidRPr="00A125AE" w:rsidRDefault="00F04B10" w:rsidP="00B77D53">
            <w:pPr>
              <w:adjustRightInd w:val="0"/>
              <w:snapToGrid w:val="0"/>
              <w:spacing w:line="40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810A4F7" w14:textId="34E5A6E0" w:rsidR="00F04B10" w:rsidRPr="00A125AE" w:rsidRDefault="00F04B10">
      <w:pPr>
        <w:spacing w:before="180"/>
      </w:pPr>
    </w:p>
    <w:p w14:paraId="693FA44F" w14:textId="498F48BC" w:rsidR="00F04B10" w:rsidRPr="00A125AE" w:rsidRDefault="00F04B10">
      <w:pPr>
        <w:spacing w:before="180"/>
      </w:pPr>
    </w:p>
    <w:p w14:paraId="18E62C91" w14:textId="77777777" w:rsidR="00F04B10" w:rsidRPr="00A125AE" w:rsidRDefault="00F04B10">
      <w:pPr>
        <w:spacing w:before="180"/>
      </w:pPr>
    </w:p>
    <w:sectPr w:rsidR="00F04B10" w:rsidRPr="00A125AE" w:rsidSect="00417469"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4B18" w14:textId="77777777" w:rsidR="000253E1" w:rsidRDefault="000253E1" w:rsidP="00E50CDD">
      <w:pPr>
        <w:spacing w:line="240" w:lineRule="auto"/>
      </w:pPr>
      <w:r>
        <w:separator/>
      </w:r>
    </w:p>
  </w:endnote>
  <w:endnote w:type="continuationSeparator" w:id="0">
    <w:p w14:paraId="64034D48" w14:textId="77777777" w:rsidR="000253E1" w:rsidRDefault="000253E1" w:rsidP="00E50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2C6B" w14:textId="77777777" w:rsidR="000253E1" w:rsidRDefault="000253E1" w:rsidP="00E50CDD">
      <w:pPr>
        <w:spacing w:line="240" w:lineRule="auto"/>
      </w:pPr>
      <w:r>
        <w:separator/>
      </w:r>
    </w:p>
  </w:footnote>
  <w:footnote w:type="continuationSeparator" w:id="0">
    <w:p w14:paraId="085DE421" w14:textId="77777777" w:rsidR="000253E1" w:rsidRDefault="000253E1" w:rsidP="00E50C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0"/>
    <w:rsid w:val="00000B07"/>
    <w:rsid w:val="00024B29"/>
    <w:rsid w:val="000253E1"/>
    <w:rsid w:val="00090CFC"/>
    <w:rsid w:val="000B674C"/>
    <w:rsid w:val="000E3AD8"/>
    <w:rsid w:val="001C16E3"/>
    <w:rsid w:val="00231364"/>
    <w:rsid w:val="00292582"/>
    <w:rsid w:val="00294A7F"/>
    <w:rsid w:val="002A16F4"/>
    <w:rsid w:val="002C520F"/>
    <w:rsid w:val="00302A65"/>
    <w:rsid w:val="003326D0"/>
    <w:rsid w:val="003507F7"/>
    <w:rsid w:val="00363E3D"/>
    <w:rsid w:val="003C221B"/>
    <w:rsid w:val="003E6E52"/>
    <w:rsid w:val="00417469"/>
    <w:rsid w:val="0043152A"/>
    <w:rsid w:val="00431E16"/>
    <w:rsid w:val="00467DFD"/>
    <w:rsid w:val="0049219B"/>
    <w:rsid w:val="004E665D"/>
    <w:rsid w:val="00510BCB"/>
    <w:rsid w:val="00522E10"/>
    <w:rsid w:val="00533331"/>
    <w:rsid w:val="0059330F"/>
    <w:rsid w:val="00650590"/>
    <w:rsid w:val="00664E72"/>
    <w:rsid w:val="006A0673"/>
    <w:rsid w:val="006E0957"/>
    <w:rsid w:val="007A5A31"/>
    <w:rsid w:val="007D1E88"/>
    <w:rsid w:val="00811BF9"/>
    <w:rsid w:val="008C0A6F"/>
    <w:rsid w:val="008D076D"/>
    <w:rsid w:val="008E522A"/>
    <w:rsid w:val="00982119"/>
    <w:rsid w:val="009C6202"/>
    <w:rsid w:val="009D54DC"/>
    <w:rsid w:val="00A125AE"/>
    <w:rsid w:val="00A20163"/>
    <w:rsid w:val="00A2488C"/>
    <w:rsid w:val="00A46702"/>
    <w:rsid w:val="00A75841"/>
    <w:rsid w:val="00B0490D"/>
    <w:rsid w:val="00B55311"/>
    <w:rsid w:val="00BA0C63"/>
    <w:rsid w:val="00BB68BE"/>
    <w:rsid w:val="00BC51EB"/>
    <w:rsid w:val="00BD66B4"/>
    <w:rsid w:val="00C00EA7"/>
    <w:rsid w:val="00C236AA"/>
    <w:rsid w:val="00C31499"/>
    <w:rsid w:val="00D30F96"/>
    <w:rsid w:val="00D45C39"/>
    <w:rsid w:val="00D575F5"/>
    <w:rsid w:val="00D943BF"/>
    <w:rsid w:val="00DA4E4B"/>
    <w:rsid w:val="00DB07E6"/>
    <w:rsid w:val="00DC57F9"/>
    <w:rsid w:val="00DD6734"/>
    <w:rsid w:val="00E15489"/>
    <w:rsid w:val="00E370E4"/>
    <w:rsid w:val="00E50CDD"/>
    <w:rsid w:val="00E5368D"/>
    <w:rsid w:val="00ED2D81"/>
    <w:rsid w:val="00F04B10"/>
    <w:rsid w:val="00F070E1"/>
    <w:rsid w:val="00F84640"/>
    <w:rsid w:val="00FA4BEA"/>
    <w:rsid w:val="00FB74D8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D327"/>
  <w15:chartTrackingRefBased/>
  <w15:docId w15:val="{817C882D-E855-4E80-9A50-CD11F18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84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8E522A"/>
    <w:pPr>
      <w:snapToGrid w:val="0"/>
      <w:spacing w:before="0" w:after="0" w:line="440" w:lineRule="atLeast"/>
    </w:pPr>
    <w:rPr>
      <w:bCs w:val="0"/>
      <w:sz w:val="32"/>
    </w:rPr>
  </w:style>
  <w:style w:type="character" w:customStyle="1" w:styleId="12">
    <w:name w:val="樣式1 字元"/>
    <w:basedOn w:val="10"/>
    <w:link w:val="11"/>
    <w:rsid w:val="008E522A"/>
    <w:rPr>
      <w:rFonts w:asciiTheme="majorHAnsi" w:eastAsiaTheme="majorEastAsia" w:hAnsiTheme="majorHAnsi" w:cstheme="majorBidi"/>
      <w:b/>
      <w:bCs w:val="0"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A758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F04B10"/>
    <w:pPr>
      <w:spacing w:line="240" w:lineRule="auto"/>
    </w:pPr>
    <w:rPr>
      <w:rFonts w:asciiTheme="minorHAnsi" w:eastAsiaTheme="minorEastAsia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C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C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龔世芬</dc:creator>
  <cp:keywords/>
  <dc:description/>
  <cp:lastModifiedBy>龔世芬</cp:lastModifiedBy>
  <cp:revision>6</cp:revision>
  <cp:lastPrinted>2022-09-28T01:47:00Z</cp:lastPrinted>
  <dcterms:created xsi:type="dcterms:W3CDTF">2022-09-27T09:14:00Z</dcterms:created>
  <dcterms:modified xsi:type="dcterms:W3CDTF">2022-09-28T02:25:00Z</dcterms:modified>
</cp:coreProperties>
</file>